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47F6" w14:textId="32C17120"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中华人民共和国国家发展和改革委员会</w:t>
      </w:r>
    </w:p>
    <w:p w14:paraId="581CC80C" w14:textId="24384D8A"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中华人民共和国工业和信息化部</w:t>
      </w:r>
    </w:p>
    <w:p w14:paraId="43993D33" w14:textId="1F036E51"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中华人民共和国住房和城乡建设部</w:t>
      </w:r>
    </w:p>
    <w:p w14:paraId="31E2F21E" w14:textId="61ABE254"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中华人民共和国交通运输部</w:t>
      </w:r>
    </w:p>
    <w:p w14:paraId="49491F5E" w14:textId="1A16A69B"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中华人民共和国水利部</w:t>
      </w:r>
    </w:p>
    <w:p w14:paraId="19E1AFAC" w14:textId="720245F9"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中华人民共和国农业农村部</w:t>
      </w:r>
    </w:p>
    <w:p w14:paraId="31A372BA" w14:textId="5C434E1A"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中华人民共和国商务部</w:t>
      </w:r>
    </w:p>
    <w:p w14:paraId="35ABA987" w14:textId="1D1823F9"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国家市场监督管理总局</w:t>
      </w:r>
    </w:p>
    <w:p w14:paraId="70B76B68" w14:textId="35DF15C5" w:rsidR="000C3575" w:rsidRPr="000C3575" w:rsidRDefault="000C3575" w:rsidP="000C3575">
      <w:pPr>
        <w:overflowPunct w:val="0"/>
        <w:spacing w:line="440" w:lineRule="exact"/>
        <w:jc w:val="center"/>
        <w:rPr>
          <w:rFonts w:ascii="方正小标宋简体" w:eastAsia="方正小标宋简体"/>
          <w:spacing w:val="20"/>
          <w:sz w:val="36"/>
        </w:rPr>
      </w:pPr>
      <w:r w:rsidRPr="000C3575">
        <w:rPr>
          <w:rFonts w:ascii="方正小标宋简体" w:eastAsia="方正小标宋简体" w:hint="eastAsia"/>
          <w:spacing w:val="20"/>
          <w:sz w:val="36"/>
        </w:rPr>
        <w:t>令</w:t>
      </w:r>
    </w:p>
    <w:p w14:paraId="1D39B0D5" w14:textId="47A07967" w:rsidR="00105948" w:rsidRPr="000C3575" w:rsidRDefault="000C3575" w:rsidP="000C3575">
      <w:pPr>
        <w:overflowPunct w:val="0"/>
        <w:spacing w:line="440" w:lineRule="exact"/>
        <w:jc w:val="center"/>
        <w:rPr>
          <w:rFonts w:ascii="方正小标宋简体" w:eastAsia="方正小标宋简体" w:hAnsi="方正小标宋简体" w:cs="方正小标宋简体"/>
          <w:spacing w:val="20"/>
          <w:sz w:val="36"/>
          <w:szCs w:val="36"/>
        </w:rPr>
      </w:pPr>
      <w:r w:rsidRPr="000C3575">
        <w:rPr>
          <w:rFonts w:ascii="方正小标宋简体" w:eastAsia="方正小标宋简体" w:hint="eastAsia"/>
          <w:spacing w:val="20"/>
          <w:sz w:val="36"/>
        </w:rPr>
        <w:t>第16号</w:t>
      </w:r>
    </w:p>
    <w:p w14:paraId="494199B8" w14:textId="77777777" w:rsidR="00105948" w:rsidRDefault="00105948">
      <w:pPr>
        <w:overflowPunct w:val="0"/>
        <w:spacing w:line="600" w:lineRule="exact"/>
        <w:rPr>
          <w:rFonts w:ascii="仿宋_GB2312" w:eastAsia="仿宋_GB2312" w:hAnsi="华文中宋" w:cs="仿宋_GB2312"/>
          <w:sz w:val="32"/>
          <w:szCs w:val="32"/>
        </w:rPr>
      </w:pPr>
    </w:p>
    <w:p w14:paraId="12B3781A" w14:textId="77777777" w:rsidR="000C3575" w:rsidRPr="000C3575" w:rsidRDefault="000C3575" w:rsidP="000C3575">
      <w:pPr>
        <w:overflowPunct w:val="0"/>
        <w:spacing w:line="560" w:lineRule="exact"/>
        <w:ind w:firstLineChars="200" w:firstLine="617"/>
        <w:rPr>
          <w:rFonts w:ascii="仿宋_GB2312" w:eastAsia="仿宋_GB2312" w:hAnsi="华文中宋" w:cs="仿宋_GB2312" w:hint="eastAsia"/>
          <w:sz w:val="32"/>
          <w:szCs w:val="32"/>
        </w:rPr>
      </w:pPr>
      <w:r w:rsidRPr="000C3575">
        <w:rPr>
          <w:rFonts w:ascii="仿宋_GB2312" w:eastAsia="仿宋_GB2312" w:hAnsi="华文中宋" w:cs="仿宋_GB2312" w:hint="eastAsia"/>
          <w:sz w:val="32"/>
          <w:szCs w:val="32"/>
        </w:rPr>
        <w:t>《招标投标领域公平竞争审查规则》已经2024年1月31日第8次委</w:t>
      </w:r>
      <w:proofErr w:type="gramStart"/>
      <w:r w:rsidRPr="000C3575">
        <w:rPr>
          <w:rFonts w:ascii="仿宋_GB2312" w:eastAsia="仿宋_GB2312" w:hAnsi="华文中宋" w:cs="仿宋_GB2312" w:hint="eastAsia"/>
          <w:sz w:val="32"/>
          <w:szCs w:val="32"/>
        </w:rPr>
        <w:t>务</w:t>
      </w:r>
      <w:proofErr w:type="gramEnd"/>
      <w:r w:rsidRPr="000C3575">
        <w:rPr>
          <w:rFonts w:ascii="仿宋_GB2312" w:eastAsia="仿宋_GB2312" w:hAnsi="华文中宋" w:cs="仿宋_GB2312" w:hint="eastAsia"/>
          <w:sz w:val="32"/>
          <w:szCs w:val="32"/>
        </w:rPr>
        <w:t>会议审议通过，现予公布，自2024年5月1日起施行。</w:t>
      </w:r>
    </w:p>
    <w:p w14:paraId="2F9D61E7" w14:textId="77777777" w:rsidR="000C3575" w:rsidRPr="000C3575" w:rsidRDefault="000C3575" w:rsidP="000C3575">
      <w:pPr>
        <w:overflowPunct w:val="0"/>
        <w:spacing w:line="560" w:lineRule="exact"/>
        <w:rPr>
          <w:rFonts w:ascii="仿宋_GB2312" w:eastAsia="仿宋_GB2312" w:hAnsi="华文中宋" w:cs="仿宋_GB2312"/>
          <w:sz w:val="32"/>
          <w:szCs w:val="32"/>
        </w:rPr>
      </w:pPr>
    </w:p>
    <w:p w14:paraId="78435387" w14:textId="6EF4D67A"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国家发展改革委主任：郑栅洁</w:t>
      </w:r>
    </w:p>
    <w:p w14:paraId="6FD7C19E" w14:textId="41D4F36B"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工业和信息化部部长：</w:t>
      </w:r>
      <w:proofErr w:type="gramStart"/>
      <w:r w:rsidRPr="000C3575">
        <w:rPr>
          <w:rFonts w:ascii="仿宋_GB2312" w:eastAsia="仿宋_GB2312" w:hAnsi="华文中宋" w:cs="仿宋_GB2312" w:hint="eastAsia"/>
          <w:sz w:val="32"/>
          <w:szCs w:val="32"/>
        </w:rPr>
        <w:t>金壮龙</w:t>
      </w:r>
      <w:proofErr w:type="gramEnd"/>
    </w:p>
    <w:p w14:paraId="016A2EBC" w14:textId="218B1555"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住房城乡建设部部长：倪虹</w:t>
      </w:r>
    </w:p>
    <w:p w14:paraId="5BD94575" w14:textId="6FBE1FF7"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交通运输部部长：李小鹏</w:t>
      </w:r>
    </w:p>
    <w:p w14:paraId="781B09EE" w14:textId="6BDD2882"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水利部部长：李国英</w:t>
      </w:r>
    </w:p>
    <w:p w14:paraId="2F4B1A5E" w14:textId="1E680514"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农业农村部部长：唐仁健</w:t>
      </w:r>
    </w:p>
    <w:p w14:paraId="6C152A4C" w14:textId="1797A1DE"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商务部部长：王文涛</w:t>
      </w:r>
    </w:p>
    <w:p w14:paraId="70CE7B23" w14:textId="567F2FD2" w:rsidR="000C3575" w:rsidRPr="000C3575" w:rsidRDefault="000C3575" w:rsidP="000C3575">
      <w:pPr>
        <w:overflowPunct w:val="0"/>
        <w:spacing w:line="560" w:lineRule="exact"/>
        <w:ind w:firstLineChars="1400" w:firstLine="4318"/>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市场监管总局局长：罗文</w:t>
      </w:r>
    </w:p>
    <w:p w14:paraId="74B3067A" w14:textId="3C56F4A9" w:rsidR="00105948" w:rsidRDefault="000C3575" w:rsidP="000C3575">
      <w:pPr>
        <w:overflowPunct w:val="0"/>
        <w:spacing w:line="560" w:lineRule="exact"/>
        <w:ind w:rightChars="743" w:right="1474"/>
        <w:jc w:val="right"/>
        <w:rPr>
          <w:rFonts w:ascii="仿宋_GB2312" w:eastAsia="仿宋_GB2312" w:hAnsi="华文中宋" w:cs="仿宋_GB2312"/>
          <w:sz w:val="32"/>
          <w:szCs w:val="32"/>
        </w:rPr>
      </w:pPr>
      <w:r w:rsidRPr="000C3575">
        <w:rPr>
          <w:rFonts w:ascii="仿宋_GB2312" w:eastAsia="仿宋_GB2312" w:hAnsi="华文中宋" w:cs="仿宋_GB2312" w:hint="eastAsia"/>
          <w:sz w:val="32"/>
          <w:szCs w:val="32"/>
        </w:rPr>
        <w:t>2024年3月25日</w:t>
      </w:r>
    </w:p>
    <w:p w14:paraId="2B042490" w14:textId="77777777" w:rsidR="000C3575" w:rsidRPr="000C3575" w:rsidRDefault="000C3575" w:rsidP="000C3575">
      <w:pPr>
        <w:overflowPunct w:val="0"/>
        <w:spacing w:line="600" w:lineRule="exact"/>
        <w:jc w:val="center"/>
        <w:rPr>
          <w:rFonts w:ascii="方正小标宋简体" w:eastAsia="方正小标宋简体" w:hAnsi="华文中宋" w:cs="仿宋_GB2312" w:hint="eastAsia"/>
          <w:sz w:val="40"/>
          <w:szCs w:val="40"/>
        </w:rPr>
      </w:pPr>
      <w:r w:rsidRPr="000C3575">
        <w:rPr>
          <w:rFonts w:ascii="方正小标宋简体" w:eastAsia="方正小标宋简体" w:hAnsi="华文中宋" w:cs="仿宋_GB2312" w:hint="eastAsia"/>
          <w:sz w:val="40"/>
          <w:szCs w:val="40"/>
        </w:rPr>
        <w:lastRenderedPageBreak/>
        <w:t>招标投标领域公平竞争审查规则</w:t>
      </w:r>
    </w:p>
    <w:p w14:paraId="49F29300" w14:textId="77777777" w:rsidR="000C3575" w:rsidRDefault="000C3575" w:rsidP="000C3575">
      <w:pPr>
        <w:overflowPunct w:val="0"/>
        <w:spacing w:line="600" w:lineRule="exact"/>
        <w:jc w:val="center"/>
        <w:rPr>
          <w:rFonts w:ascii="仿宋_GB2312" w:eastAsia="仿宋_GB2312" w:hAnsi="华文中宋" w:cs="仿宋_GB2312"/>
          <w:sz w:val="32"/>
          <w:szCs w:val="32"/>
        </w:rPr>
      </w:pPr>
    </w:p>
    <w:p w14:paraId="440A8059" w14:textId="774C6CB0" w:rsidR="000C3575" w:rsidRPr="000C3575" w:rsidRDefault="000C3575" w:rsidP="000C3575">
      <w:pPr>
        <w:overflowPunct w:val="0"/>
        <w:spacing w:line="600" w:lineRule="exact"/>
        <w:jc w:val="center"/>
        <w:rPr>
          <w:rFonts w:ascii="黑体" w:eastAsia="黑体" w:hAnsi="黑体" w:cs="仿宋_GB2312" w:hint="eastAsia"/>
          <w:sz w:val="32"/>
          <w:szCs w:val="32"/>
        </w:rPr>
      </w:pPr>
      <w:r w:rsidRPr="000C3575">
        <w:rPr>
          <w:rFonts w:ascii="黑体" w:eastAsia="黑体" w:hAnsi="黑体" w:cs="仿宋_GB2312" w:hint="eastAsia"/>
          <w:sz w:val="32"/>
          <w:szCs w:val="32"/>
        </w:rPr>
        <w:t>第一章 总则</w:t>
      </w:r>
    </w:p>
    <w:p w14:paraId="03F6B3D7"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0C3575">
        <w:rPr>
          <w:rFonts w:ascii="仿宋_GB2312" w:eastAsia="仿宋_GB2312" w:hAnsi="华文中宋" w:cs="仿宋_GB2312" w:hint="eastAsia"/>
          <w:b/>
          <w:bCs/>
          <w:sz w:val="30"/>
          <w:szCs w:val="30"/>
        </w:rPr>
        <w:t>第一条</w:t>
      </w:r>
      <w:r w:rsidRPr="000C3575">
        <w:rPr>
          <w:rFonts w:ascii="仿宋_GB2312" w:eastAsia="仿宋_GB2312" w:hAnsi="华文中宋" w:cs="仿宋_GB2312" w:hint="eastAsia"/>
          <w:sz w:val="30"/>
          <w:szCs w:val="30"/>
        </w:rPr>
        <w:t xml:space="preserve"> 为加强和规范招标投标领域公平竞争审查，维护公平竞争市场秩序，根据《中华人民共和国招标投标法》《中华人民共和国招标投标法实施条例》等有关规定，制定本规则。</w:t>
      </w:r>
    </w:p>
    <w:p w14:paraId="72132595"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0C3575">
        <w:rPr>
          <w:rFonts w:ascii="仿宋_GB2312" w:eastAsia="仿宋_GB2312" w:hAnsi="华文中宋" w:cs="仿宋_GB2312" w:hint="eastAsia"/>
          <w:b/>
          <w:bCs/>
          <w:sz w:val="30"/>
          <w:szCs w:val="30"/>
        </w:rPr>
        <w:t>第二条</w:t>
      </w:r>
      <w:r w:rsidRPr="000C3575">
        <w:rPr>
          <w:rFonts w:ascii="仿宋_GB2312" w:eastAsia="仿宋_GB2312" w:hAnsi="华文中宋" w:cs="仿宋_GB2312" w:hint="eastAsia"/>
          <w:sz w:val="30"/>
          <w:szCs w:val="30"/>
        </w:rPr>
        <w:t xml:space="preserve"> 招标投标领域公平竞争审查工作，适用本规则。</w:t>
      </w:r>
    </w:p>
    <w:p w14:paraId="00E32088"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0C3575">
        <w:rPr>
          <w:rFonts w:ascii="仿宋_GB2312" w:eastAsia="仿宋_GB2312" w:hAnsi="华文中宋" w:cs="仿宋_GB2312" w:hint="eastAsia"/>
          <w:b/>
          <w:bCs/>
          <w:sz w:val="30"/>
          <w:szCs w:val="30"/>
        </w:rPr>
        <w:t>第三条</w:t>
      </w:r>
      <w:r w:rsidRPr="000C3575">
        <w:rPr>
          <w:rFonts w:ascii="仿宋_GB2312" w:eastAsia="仿宋_GB2312" w:hAnsi="华文中宋" w:cs="仿宋_GB2312" w:hint="eastAsia"/>
          <w:sz w:val="30"/>
          <w:szCs w:val="30"/>
        </w:rPr>
        <w:t xml:space="preserve"> 本规则所称公平竞争审查，是指行政机关和法律、法规授权的具有管理公共事务职能的组织（以下统称政策制定机关）对拟制定的招标投标领域涉及经营主体经济活动的规章、行政规范性文件、其他政策性文件以及具体政策措施（以下统称政策措施）是否存在排除、限制竞争情形进行审查评估的活动。</w:t>
      </w:r>
    </w:p>
    <w:p w14:paraId="224F9A8F"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除法律、行政法规或者国务院规定的公平竞争审查例外情形，未经公平竞争审查或者经审查存在排除、限制竞争情形的，不得出台有关政策措施。</w:t>
      </w:r>
    </w:p>
    <w:p w14:paraId="2490A7B4"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0C3575">
        <w:rPr>
          <w:rFonts w:ascii="仿宋_GB2312" w:eastAsia="仿宋_GB2312" w:hAnsi="华文中宋" w:cs="仿宋_GB2312" w:hint="eastAsia"/>
          <w:b/>
          <w:bCs/>
          <w:sz w:val="30"/>
          <w:szCs w:val="30"/>
        </w:rPr>
        <w:t>第四条</w:t>
      </w:r>
      <w:r w:rsidRPr="000C3575">
        <w:rPr>
          <w:rFonts w:ascii="仿宋_GB2312" w:eastAsia="仿宋_GB2312" w:hAnsi="华文中宋" w:cs="仿宋_GB2312" w:hint="eastAsia"/>
          <w:sz w:val="30"/>
          <w:szCs w:val="30"/>
        </w:rPr>
        <w:t xml:space="preserve"> 政策制定机关履行公平竞争审查职责。政策制定机关应当确定专门机构具体负责政策措施的公平竞争审查工作。</w:t>
      </w:r>
    </w:p>
    <w:p w14:paraId="7A44E00B" w14:textId="2FBFB641" w:rsidR="000C3575" w:rsidRPr="000C3575" w:rsidRDefault="000C3575" w:rsidP="000C3575">
      <w:pPr>
        <w:overflowPunct w:val="0"/>
        <w:spacing w:line="560" w:lineRule="exact"/>
        <w:ind w:firstLineChars="200" w:firstLine="577"/>
        <w:rPr>
          <w:rFonts w:ascii="仿宋_GB2312" w:eastAsia="仿宋_GB2312" w:hAnsi="华文中宋" w:cs="仿宋_GB2312"/>
          <w:sz w:val="30"/>
          <w:szCs w:val="30"/>
        </w:rPr>
      </w:pPr>
      <w:r w:rsidRPr="000C3575">
        <w:rPr>
          <w:rFonts w:ascii="仿宋_GB2312" w:eastAsia="仿宋_GB2312" w:hAnsi="华文中宋" w:cs="仿宋_GB2312" w:hint="eastAsia"/>
          <w:sz w:val="30"/>
          <w:szCs w:val="30"/>
        </w:rPr>
        <w:t>多个部门联合制定政策措施的，由牵头部门组织开展公平竞争审查，各参与部门对职责范围内的政策措施负责。</w:t>
      </w:r>
    </w:p>
    <w:p w14:paraId="68BFBAB2"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p>
    <w:p w14:paraId="15D7C058" w14:textId="77777777" w:rsidR="000C3575" w:rsidRPr="000C3575" w:rsidRDefault="000C3575" w:rsidP="000C3575">
      <w:pPr>
        <w:overflowPunct w:val="0"/>
        <w:spacing w:line="560" w:lineRule="exact"/>
        <w:jc w:val="center"/>
        <w:rPr>
          <w:rFonts w:ascii="黑体" w:eastAsia="黑体" w:hAnsi="黑体" w:cs="仿宋_GB2312" w:hint="eastAsia"/>
          <w:sz w:val="30"/>
          <w:szCs w:val="30"/>
        </w:rPr>
      </w:pPr>
      <w:r w:rsidRPr="000C3575">
        <w:rPr>
          <w:rFonts w:ascii="黑体" w:eastAsia="黑体" w:hAnsi="黑体" w:cs="仿宋_GB2312" w:hint="eastAsia"/>
          <w:sz w:val="30"/>
          <w:szCs w:val="30"/>
        </w:rPr>
        <w:t>第二章 审查标准</w:t>
      </w:r>
    </w:p>
    <w:p w14:paraId="7A7CBCA9"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0C3575">
        <w:rPr>
          <w:rFonts w:ascii="仿宋_GB2312" w:eastAsia="仿宋_GB2312" w:hAnsi="华文中宋" w:cs="仿宋_GB2312" w:hint="eastAsia"/>
          <w:b/>
          <w:bCs/>
          <w:sz w:val="30"/>
          <w:szCs w:val="30"/>
        </w:rPr>
        <w:t>第五条</w:t>
      </w:r>
      <w:r w:rsidRPr="000C3575">
        <w:rPr>
          <w:rFonts w:ascii="仿宋_GB2312" w:eastAsia="仿宋_GB2312" w:hAnsi="华文中宋" w:cs="仿宋_GB2312" w:hint="eastAsia"/>
          <w:sz w:val="30"/>
          <w:szCs w:val="30"/>
        </w:rPr>
        <w:t xml:space="preserve"> 政策制定机关应当尊重和保障招标人组织招标、选择招</w:t>
      </w:r>
      <w:r w:rsidRPr="000C3575">
        <w:rPr>
          <w:rFonts w:ascii="仿宋_GB2312" w:eastAsia="仿宋_GB2312" w:hAnsi="华文中宋" w:cs="仿宋_GB2312" w:hint="eastAsia"/>
          <w:sz w:val="30"/>
          <w:szCs w:val="30"/>
        </w:rPr>
        <w:lastRenderedPageBreak/>
        <w:t>标代理机构、编制资格预审文件和招标文件的自主权，不得制定以下政策措施：</w:t>
      </w:r>
    </w:p>
    <w:p w14:paraId="2E00EF0F"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（一）为招标人指定招标代理机构或者违法限定招标人选择招标代理机构的方式；</w:t>
      </w:r>
    </w:p>
    <w:p w14:paraId="4B4DDD84"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（二）为招标人指定投标资格、技术、商务条件；</w:t>
      </w:r>
    </w:p>
    <w:p w14:paraId="4B9F11C8"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（三）为招标人指定特定类型的资格审查方法或者评标方法；</w:t>
      </w:r>
    </w:p>
    <w:p w14:paraId="54AFECC5"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（四）为招标人指定具体的资格审查标准或者评标标准；</w:t>
      </w:r>
    </w:p>
    <w:p w14:paraId="3ACE4A39"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（五）为招标人指定评标委员会成员；</w:t>
      </w:r>
    </w:p>
    <w:p w14:paraId="4EC929FA"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（六）对于已经纳入统一的公共资源交易平台体系的电子交易系统，限制招标人自主选择；</w:t>
      </w:r>
    </w:p>
    <w:p w14:paraId="6BE21649"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（七）强制招标人或者招标代理机构选择电子认证服务；</w:t>
      </w:r>
    </w:p>
    <w:p w14:paraId="088F88B8"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（八）为招标人或者招标代理机构指定特定交易工具；</w:t>
      </w:r>
    </w:p>
    <w:p w14:paraId="19020AF1"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（九）为招标人指定承包商（供应商）预选库、资格</w:t>
      </w:r>
      <w:proofErr w:type="gramStart"/>
      <w:r w:rsidRPr="000C3575">
        <w:rPr>
          <w:rFonts w:ascii="仿宋_GB2312" w:eastAsia="仿宋_GB2312" w:hAnsi="华文中宋" w:cs="仿宋_GB2312" w:hint="eastAsia"/>
          <w:sz w:val="30"/>
          <w:szCs w:val="30"/>
        </w:rPr>
        <w:t>库或者</w:t>
      </w:r>
      <w:proofErr w:type="gramEnd"/>
      <w:r w:rsidRPr="000C3575">
        <w:rPr>
          <w:rFonts w:ascii="仿宋_GB2312" w:eastAsia="仿宋_GB2312" w:hAnsi="华文中宋" w:cs="仿宋_GB2312" w:hint="eastAsia"/>
          <w:sz w:val="30"/>
          <w:szCs w:val="30"/>
        </w:rPr>
        <w:t>备选名录等；</w:t>
      </w:r>
    </w:p>
    <w:p w14:paraId="55A8FB41"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（十）要求招标人依照本地区创新产品名单、优先采购产品名单等地方性扶持政策开展招标投标活动；</w:t>
      </w:r>
    </w:p>
    <w:p w14:paraId="18DAF239"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（十一）以其他不合理条件限制招标人自主权的政策措施。</w:t>
      </w:r>
    </w:p>
    <w:p w14:paraId="5232067C"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0C3575">
        <w:rPr>
          <w:rFonts w:ascii="仿宋_GB2312" w:eastAsia="仿宋_GB2312" w:hAnsi="华文中宋" w:cs="仿宋_GB2312" w:hint="eastAsia"/>
          <w:b/>
          <w:bCs/>
          <w:sz w:val="30"/>
          <w:szCs w:val="30"/>
        </w:rPr>
        <w:t>第六条</w:t>
      </w:r>
      <w:r w:rsidRPr="000C3575">
        <w:rPr>
          <w:rFonts w:ascii="仿宋_GB2312" w:eastAsia="仿宋_GB2312" w:hAnsi="华文中宋" w:cs="仿宋_GB2312" w:hint="eastAsia"/>
          <w:sz w:val="30"/>
          <w:szCs w:val="30"/>
        </w:rPr>
        <w:t xml:space="preserve"> 政策制定机关应当落实全国统一的市场准入条件，对经营主体参与投标活动，不得制定以下政策措施：</w:t>
      </w:r>
    </w:p>
    <w:p w14:paraId="10C80BF8"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（一）对市场准入负面清单以外的行业、领域、业务，要求经营主体在参与投标活动前取得行政许可；</w:t>
      </w:r>
    </w:p>
    <w:p w14:paraId="761DD49F"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（二）要求经营主体在本地区设立分支机构、缴纳税收社保或者</w:t>
      </w:r>
      <w:r w:rsidRPr="000C3575">
        <w:rPr>
          <w:rFonts w:ascii="仿宋_GB2312" w:eastAsia="仿宋_GB2312" w:hAnsi="华文中宋" w:cs="仿宋_GB2312" w:hint="eastAsia"/>
          <w:sz w:val="30"/>
          <w:szCs w:val="30"/>
        </w:rPr>
        <w:lastRenderedPageBreak/>
        <w:t>与本地区经营主体组成联合体；</w:t>
      </w:r>
    </w:p>
    <w:p w14:paraId="5B950A57"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（三）要求经营主体取得本地区业绩或者奖项；</w:t>
      </w:r>
    </w:p>
    <w:p w14:paraId="35640CA2"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（四）要求经营主体取得培训合格证、上岗证等特定地区或者特定行业组织颁发的相关证书；</w:t>
      </w:r>
    </w:p>
    <w:p w14:paraId="3637EAB3"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（五）要求经营主体取得特定行业组织成员身份；</w:t>
      </w:r>
    </w:p>
    <w:p w14:paraId="4955A883"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（六）以其他不合理条件限制经营主体参与投标的政策措施。</w:t>
      </w:r>
    </w:p>
    <w:p w14:paraId="73CAC9BB"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2356F2">
        <w:rPr>
          <w:rFonts w:ascii="仿宋_GB2312" w:eastAsia="仿宋_GB2312" w:hAnsi="华文中宋" w:cs="仿宋_GB2312" w:hint="eastAsia"/>
          <w:b/>
          <w:bCs/>
          <w:sz w:val="30"/>
          <w:szCs w:val="30"/>
        </w:rPr>
        <w:t>第七条</w:t>
      </w:r>
      <w:r w:rsidRPr="000C3575">
        <w:rPr>
          <w:rFonts w:ascii="仿宋_GB2312" w:eastAsia="仿宋_GB2312" w:hAnsi="华文中宋" w:cs="仿宋_GB2312" w:hint="eastAsia"/>
          <w:sz w:val="30"/>
          <w:szCs w:val="30"/>
        </w:rPr>
        <w:t xml:space="preserve"> 政策制定机关制定标准招标文件（示范文本）和标准资格预审文件（示范文本），应当平等对待不同地区、所有制形式的经营主体，不得在标准招标文件（示范文本）和标准资格预审文件（示范文本）中设置以下内容：</w:t>
      </w:r>
    </w:p>
    <w:p w14:paraId="2574A6BE"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（一）根据经营主体取得业绩的区域设置差异性得分；</w:t>
      </w:r>
    </w:p>
    <w:p w14:paraId="79A9D0AC"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（二）根据经营主体的所有制形式设置差异性得分；</w:t>
      </w:r>
    </w:p>
    <w:p w14:paraId="4F79C49E"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（三）根据经营主体投标产品的产地设置差异性得分；</w:t>
      </w:r>
    </w:p>
    <w:p w14:paraId="6AE22546"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（四）根据经营主体的规模、注册地址、注册资金、市场占有率、负债率、净资产规模等设置差异性得分；</w:t>
      </w:r>
    </w:p>
    <w:p w14:paraId="68C5A97F"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（五）根据联合体成员单位的注册地址、所有制形式等设置差异性得分；</w:t>
      </w:r>
    </w:p>
    <w:p w14:paraId="7C17BFF1"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（六）其他排除或者限制竞争的内容。</w:t>
      </w:r>
    </w:p>
    <w:p w14:paraId="3B3FB416"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2356F2">
        <w:rPr>
          <w:rFonts w:ascii="仿宋_GB2312" w:eastAsia="仿宋_GB2312" w:hAnsi="华文中宋" w:cs="仿宋_GB2312" w:hint="eastAsia"/>
          <w:b/>
          <w:bCs/>
          <w:sz w:val="30"/>
          <w:szCs w:val="30"/>
        </w:rPr>
        <w:t>第八条</w:t>
      </w:r>
      <w:r w:rsidRPr="000C3575">
        <w:rPr>
          <w:rFonts w:ascii="仿宋_GB2312" w:eastAsia="仿宋_GB2312" w:hAnsi="华文中宋" w:cs="仿宋_GB2312" w:hint="eastAsia"/>
          <w:sz w:val="30"/>
          <w:szCs w:val="30"/>
        </w:rPr>
        <w:t xml:space="preserve"> 政策制定机关制定定标相关政策措施，应当尊重和保障招标人定标权，落实招标人定标主体责任，不得制定以下政策措施：</w:t>
      </w:r>
    </w:p>
    <w:p w14:paraId="2CFDB2BC"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（一）为招标人指定定标方法；</w:t>
      </w:r>
    </w:p>
    <w:p w14:paraId="7C94EA9A"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（二）为招标人指定定标单位或者定标人员；</w:t>
      </w:r>
    </w:p>
    <w:p w14:paraId="26CE446B"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lastRenderedPageBreak/>
        <w:t>（三）将定标权交由招标人或者其授权的评标委员会以外的其他单位或者人员行使；</w:t>
      </w:r>
    </w:p>
    <w:p w14:paraId="3609C773"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（四）规定直接以抽签、摇号、抓阄等方式确定合格投标人、中标候选人或者中标人；</w:t>
      </w:r>
    </w:p>
    <w:p w14:paraId="0C270F4C"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（五）以其他不合理条件限制招标人定标权的政策措施。</w:t>
      </w:r>
    </w:p>
    <w:p w14:paraId="174BC76D"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2356F2">
        <w:rPr>
          <w:rFonts w:ascii="仿宋_GB2312" w:eastAsia="仿宋_GB2312" w:hAnsi="华文中宋" w:cs="仿宋_GB2312" w:hint="eastAsia"/>
          <w:b/>
          <w:bCs/>
          <w:sz w:val="30"/>
          <w:szCs w:val="30"/>
        </w:rPr>
        <w:t>第九条</w:t>
      </w:r>
      <w:r w:rsidRPr="000C3575">
        <w:rPr>
          <w:rFonts w:ascii="仿宋_GB2312" w:eastAsia="仿宋_GB2312" w:hAnsi="华文中宋" w:cs="仿宋_GB2312" w:hint="eastAsia"/>
          <w:sz w:val="30"/>
          <w:szCs w:val="30"/>
        </w:rPr>
        <w:t xml:space="preserve"> 政策制定机关可以通过组织开展信用评价引导经营主体诚信守法参与招标投标活动，并可以通过制定实施相应政策措施鼓励经营主体应用信用评价结果，但应当平等对待不同地区、所有制形式的经营主体，依法保障经营主体自主权，不得制定以下政策措施：</w:t>
      </w:r>
    </w:p>
    <w:p w14:paraId="7BDA51DC"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（一）在信用信息记录、归集、共享等方面对不同地区或者所有制形式的经营主体</w:t>
      </w:r>
      <w:proofErr w:type="gramStart"/>
      <w:r w:rsidRPr="000C3575">
        <w:rPr>
          <w:rFonts w:ascii="仿宋_GB2312" w:eastAsia="仿宋_GB2312" w:hAnsi="华文中宋" w:cs="仿宋_GB2312" w:hint="eastAsia"/>
          <w:sz w:val="30"/>
          <w:szCs w:val="30"/>
        </w:rPr>
        <w:t>作出</w:t>
      </w:r>
      <w:proofErr w:type="gramEnd"/>
      <w:r w:rsidRPr="000C3575">
        <w:rPr>
          <w:rFonts w:ascii="仿宋_GB2312" w:eastAsia="仿宋_GB2312" w:hAnsi="华文中宋" w:cs="仿宋_GB2312" w:hint="eastAsia"/>
          <w:sz w:val="30"/>
          <w:szCs w:val="30"/>
        </w:rPr>
        <w:t>区别规定；</w:t>
      </w:r>
    </w:p>
    <w:p w14:paraId="299A4510"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（二）对不同地区或者所有制形式经营主体的资质、资格、业绩等采用不同信用评价标准；</w:t>
      </w:r>
    </w:p>
    <w:p w14:paraId="39DC3938"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（三）根据经营主体的所在地区或者所有制形式采取差异化的信用监管措施；</w:t>
      </w:r>
    </w:p>
    <w:p w14:paraId="20A03A72"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（四）没有法定依据，限制经营主体参考使用信用评价结果的自主权；</w:t>
      </w:r>
    </w:p>
    <w:p w14:paraId="0FB7A9D9"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（五）其他排除限制竞争或者损害经营主体合法权益的政策措施。</w:t>
      </w:r>
    </w:p>
    <w:p w14:paraId="3780E95B"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2356F2">
        <w:rPr>
          <w:rFonts w:ascii="仿宋_GB2312" w:eastAsia="仿宋_GB2312" w:hAnsi="华文中宋" w:cs="仿宋_GB2312" w:hint="eastAsia"/>
          <w:b/>
          <w:bCs/>
          <w:sz w:val="30"/>
          <w:szCs w:val="30"/>
        </w:rPr>
        <w:t>第十条</w:t>
      </w:r>
      <w:r w:rsidRPr="000C3575">
        <w:rPr>
          <w:rFonts w:ascii="仿宋_GB2312" w:eastAsia="仿宋_GB2312" w:hAnsi="华文中宋" w:cs="仿宋_GB2312" w:hint="eastAsia"/>
          <w:sz w:val="30"/>
          <w:szCs w:val="30"/>
        </w:rPr>
        <w:t xml:space="preserve"> 政策制定机关制定涉及招标投标交易监管和服务的政策措施，应当平等保障各类经营主体参与，不得在交易流程上制定以下政策措施：</w:t>
      </w:r>
    </w:p>
    <w:p w14:paraId="759572B6"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lastRenderedPageBreak/>
        <w:t>（一）规定招标投标交易服务机构行使审批、备案、监管、处罚等具有行政管理性质的职能；</w:t>
      </w:r>
    </w:p>
    <w:p w14:paraId="2848CF6B"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（二）强制非公共资源交易项目进入公共资源交易平台交易；</w:t>
      </w:r>
    </w:p>
    <w:p w14:paraId="0DB1CC84"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（三）对能够通过告知承诺和</w:t>
      </w:r>
      <w:proofErr w:type="gramStart"/>
      <w:r w:rsidRPr="000C3575">
        <w:rPr>
          <w:rFonts w:ascii="仿宋_GB2312" w:eastAsia="仿宋_GB2312" w:hAnsi="华文中宋" w:cs="仿宋_GB2312" w:hint="eastAsia"/>
          <w:sz w:val="30"/>
          <w:szCs w:val="30"/>
        </w:rPr>
        <w:t>事后核</w:t>
      </w:r>
      <w:proofErr w:type="gramEnd"/>
      <w:r w:rsidRPr="000C3575">
        <w:rPr>
          <w:rFonts w:ascii="仿宋_GB2312" w:eastAsia="仿宋_GB2312" w:hAnsi="华文中宋" w:cs="仿宋_GB2312" w:hint="eastAsia"/>
          <w:sz w:val="30"/>
          <w:szCs w:val="30"/>
        </w:rPr>
        <w:t>验核实真伪的事项，强制投标人在投标环节提供原件；</w:t>
      </w:r>
    </w:p>
    <w:p w14:paraId="7F1AE74F"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（四）在获取招标文件、开标环节违法要求投标人的法定代表人、技术负责人、项目负责人或者其他特定人员到场；</w:t>
      </w:r>
    </w:p>
    <w:p w14:paraId="22D1E19E"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（五）其他不当限制经营主体参与招标投标的政策措施。</w:t>
      </w:r>
    </w:p>
    <w:p w14:paraId="09D62628"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第十一条</w:t>
      </w:r>
      <w:r w:rsidRPr="000C3575">
        <w:rPr>
          <w:rFonts w:ascii="仿宋_GB2312" w:eastAsia="仿宋_GB2312" w:hAnsi="华文中宋" w:cs="仿宋_GB2312" w:hint="eastAsia"/>
          <w:sz w:val="30"/>
          <w:szCs w:val="30"/>
        </w:rPr>
        <w:t xml:space="preserve"> 政策制定机关制定涉及保证金的政策措施，不得设置以下不合理限制：</w:t>
      </w:r>
    </w:p>
    <w:p w14:paraId="67699C62"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（一）限制招标人依法收取保证金；</w:t>
      </w:r>
    </w:p>
    <w:p w14:paraId="1CCA90D7"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（二）要求经营主体缴纳除投标保证金、履约保证金、工程质量保证金、农民工工资保证金以外的其他保证金；</w:t>
      </w:r>
    </w:p>
    <w:p w14:paraId="3EE4FB74"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（三）限定经营主体缴纳保证金的形式；</w:t>
      </w:r>
    </w:p>
    <w:p w14:paraId="25A63541"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（四）要求经营主体从特定机构开具保函（保险）；</w:t>
      </w:r>
    </w:p>
    <w:p w14:paraId="1A4CC39C"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（五）在招标文件之外设定保证金退还的前置条件；</w:t>
      </w:r>
    </w:p>
    <w:p w14:paraId="25BD304D"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（六）其他涉及保证金的不合理限制措施。</w:t>
      </w:r>
    </w:p>
    <w:p w14:paraId="2BBB1204" w14:textId="77777777" w:rsidR="000C3575" w:rsidRPr="0074615F" w:rsidRDefault="000C3575" w:rsidP="0074615F">
      <w:pPr>
        <w:overflowPunct w:val="0"/>
        <w:spacing w:line="560" w:lineRule="exact"/>
        <w:jc w:val="center"/>
        <w:rPr>
          <w:rFonts w:ascii="黑体" w:eastAsia="黑体" w:hAnsi="黑体" w:cs="仿宋_GB2312" w:hint="eastAsia"/>
          <w:sz w:val="30"/>
          <w:szCs w:val="30"/>
        </w:rPr>
      </w:pPr>
      <w:r w:rsidRPr="0074615F">
        <w:rPr>
          <w:rFonts w:ascii="黑体" w:eastAsia="黑体" w:hAnsi="黑体" w:cs="仿宋_GB2312" w:hint="eastAsia"/>
          <w:sz w:val="30"/>
          <w:szCs w:val="30"/>
        </w:rPr>
        <w:t>第三章 审查机制</w:t>
      </w:r>
    </w:p>
    <w:p w14:paraId="4E4EF6E2"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第十二条</w:t>
      </w:r>
      <w:r w:rsidRPr="000C3575">
        <w:rPr>
          <w:rFonts w:ascii="仿宋_GB2312" w:eastAsia="仿宋_GB2312" w:hAnsi="华文中宋" w:cs="仿宋_GB2312" w:hint="eastAsia"/>
          <w:sz w:val="30"/>
          <w:szCs w:val="30"/>
        </w:rPr>
        <w:t xml:space="preserve"> 政策制定机关应当建立本机关公平竞争审查工作机制，明确公平竞争审查负责机构、审查标准和审查流程，规范公平竞争审查行为。</w:t>
      </w:r>
    </w:p>
    <w:p w14:paraId="3CAE47B0"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第十三条</w:t>
      </w:r>
      <w:r w:rsidRPr="000C3575">
        <w:rPr>
          <w:rFonts w:ascii="仿宋_GB2312" w:eastAsia="仿宋_GB2312" w:hAnsi="华文中宋" w:cs="仿宋_GB2312" w:hint="eastAsia"/>
          <w:sz w:val="30"/>
          <w:szCs w:val="30"/>
        </w:rPr>
        <w:t xml:space="preserve"> 政策措施应当在提请审议或者报批前完成公平竞争审</w:t>
      </w:r>
      <w:r w:rsidRPr="000C3575">
        <w:rPr>
          <w:rFonts w:ascii="仿宋_GB2312" w:eastAsia="仿宋_GB2312" w:hAnsi="华文中宋" w:cs="仿宋_GB2312" w:hint="eastAsia"/>
          <w:sz w:val="30"/>
          <w:szCs w:val="30"/>
        </w:rPr>
        <w:lastRenderedPageBreak/>
        <w:t>查。</w:t>
      </w:r>
    </w:p>
    <w:p w14:paraId="128B9EB1"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政策制定机关应当</w:t>
      </w:r>
      <w:proofErr w:type="gramStart"/>
      <w:r w:rsidRPr="000C3575">
        <w:rPr>
          <w:rFonts w:ascii="仿宋_GB2312" w:eastAsia="仿宋_GB2312" w:hAnsi="华文中宋" w:cs="仿宋_GB2312" w:hint="eastAsia"/>
          <w:sz w:val="30"/>
          <w:szCs w:val="30"/>
        </w:rPr>
        <w:t>作出</w:t>
      </w:r>
      <w:proofErr w:type="gramEnd"/>
      <w:r w:rsidRPr="000C3575">
        <w:rPr>
          <w:rFonts w:ascii="仿宋_GB2312" w:eastAsia="仿宋_GB2312" w:hAnsi="华文中宋" w:cs="仿宋_GB2312" w:hint="eastAsia"/>
          <w:sz w:val="30"/>
          <w:szCs w:val="30"/>
        </w:rPr>
        <w:t>符合或者不符合审查标准的书面审查结论。适用有关法律、行政法规或者国务院规定的公平竞争审查例外情形的，应当在审查结论中说明理由。</w:t>
      </w:r>
    </w:p>
    <w:p w14:paraId="537280F1"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第十四条</w:t>
      </w:r>
      <w:r w:rsidRPr="000C3575">
        <w:rPr>
          <w:rFonts w:ascii="仿宋_GB2312" w:eastAsia="仿宋_GB2312" w:hAnsi="华文中宋" w:cs="仿宋_GB2312" w:hint="eastAsia"/>
          <w:sz w:val="30"/>
          <w:szCs w:val="30"/>
        </w:rPr>
        <w:t xml:space="preserve"> 政策制定机关在对政策措施开展公平竞争审查过程中，应当以适当方式听取有关经营主体、行业协会商会等意见；除依法保密外，应当向社会公开征求意见。</w:t>
      </w:r>
    </w:p>
    <w:p w14:paraId="504BEE19"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在起草政策措施的其他环节已经向社会公开征求意见或者征求过有关方面意见的，可以不再专门就公平竞争审查征求意见。</w:t>
      </w:r>
    </w:p>
    <w:p w14:paraId="16D59A79"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第十五条</w:t>
      </w:r>
      <w:r w:rsidRPr="000C3575">
        <w:rPr>
          <w:rFonts w:ascii="仿宋_GB2312" w:eastAsia="仿宋_GB2312" w:hAnsi="华文中宋" w:cs="仿宋_GB2312" w:hint="eastAsia"/>
          <w:sz w:val="30"/>
          <w:szCs w:val="30"/>
        </w:rPr>
        <w:t xml:space="preserve"> 政策制定机关可以委托第三方机构对拟出台政策措施的公平竞争影响、已出台政策措施的竞争效果和本地区招标投标公平竞争审查制度总体实施情况、市场竞争状况等开展评估。</w:t>
      </w:r>
    </w:p>
    <w:p w14:paraId="1133E988" w14:textId="77777777" w:rsidR="000C3575" w:rsidRPr="0074615F" w:rsidRDefault="000C3575" w:rsidP="0074615F">
      <w:pPr>
        <w:overflowPunct w:val="0"/>
        <w:spacing w:line="560" w:lineRule="exact"/>
        <w:jc w:val="center"/>
        <w:rPr>
          <w:rFonts w:ascii="黑体" w:eastAsia="黑体" w:hAnsi="黑体" w:cs="仿宋_GB2312" w:hint="eastAsia"/>
          <w:sz w:val="30"/>
          <w:szCs w:val="30"/>
        </w:rPr>
      </w:pPr>
      <w:r w:rsidRPr="0074615F">
        <w:rPr>
          <w:rFonts w:ascii="黑体" w:eastAsia="黑体" w:hAnsi="黑体" w:cs="仿宋_GB2312" w:hint="eastAsia"/>
          <w:sz w:val="30"/>
          <w:szCs w:val="30"/>
        </w:rPr>
        <w:t>第四章 监督管理</w:t>
      </w:r>
    </w:p>
    <w:p w14:paraId="0BD7DA6E"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第十六条</w:t>
      </w:r>
      <w:r w:rsidRPr="000C3575">
        <w:rPr>
          <w:rFonts w:ascii="仿宋_GB2312" w:eastAsia="仿宋_GB2312" w:hAnsi="华文中宋" w:cs="仿宋_GB2312" w:hint="eastAsia"/>
          <w:sz w:val="30"/>
          <w:szCs w:val="30"/>
        </w:rPr>
        <w:t xml:space="preserve"> 地方各级招标投标指导协调部门会同招标投标行政监督部门，应当定期组织开展政策措施评估，发现违反公平竞争审查有关规定的，应当及时纠正。</w:t>
      </w:r>
    </w:p>
    <w:p w14:paraId="1A627D3D"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第十七条</w:t>
      </w:r>
      <w:r w:rsidRPr="000C3575">
        <w:rPr>
          <w:rFonts w:ascii="仿宋_GB2312" w:eastAsia="仿宋_GB2312" w:hAnsi="华文中宋" w:cs="仿宋_GB2312" w:hint="eastAsia"/>
          <w:sz w:val="30"/>
          <w:szCs w:val="30"/>
        </w:rPr>
        <w:t xml:space="preserve"> 公民、法人或者其他组织认为政策措施妨碍公平竞争的，有权向政策制定机关及其上一级机关反映。</w:t>
      </w:r>
    </w:p>
    <w:p w14:paraId="6244EBBF" w14:textId="77777777" w:rsidR="000C3575" w:rsidRPr="000C3575" w:rsidRDefault="000C3575" w:rsidP="000C3575">
      <w:pPr>
        <w:overflowPunct w:val="0"/>
        <w:spacing w:line="560" w:lineRule="exact"/>
        <w:ind w:firstLineChars="200" w:firstLine="577"/>
        <w:rPr>
          <w:rFonts w:ascii="仿宋_GB2312" w:eastAsia="仿宋_GB2312" w:hAnsi="华文中宋" w:cs="仿宋_GB2312" w:hint="eastAsia"/>
          <w:sz w:val="30"/>
          <w:szCs w:val="30"/>
        </w:rPr>
      </w:pPr>
      <w:r w:rsidRPr="000C3575">
        <w:rPr>
          <w:rFonts w:ascii="仿宋_GB2312" w:eastAsia="仿宋_GB2312" w:hAnsi="华文中宋" w:cs="仿宋_GB2312" w:hint="eastAsia"/>
          <w:sz w:val="30"/>
          <w:szCs w:val="30"/>
        </w:rPr>
        <w:t>地方各级招标投标指导协调部门、招标投标行政监督部门应当建立招标投标市场壁垒线索征集机制，动态清理废止各类有违公平竞争的政策措施。</w:t>
      </w:r>
    </w:p>
    <w:p w14:paraId="003C34CC"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第十八条</w:t>
      </w:r>
      <w:r w:rsidRPr="000C3575">
        <w:rPr>
          <w:rFonts w:ascii="仿宋_GB2312" w:eastAsia="仿宋_GB2312" w:hAnsi="华文中宋" w:cs="仿宋_GB2312" w:hint="eastAsia"/>
          <w:sz w:val="30"/>
          <w:szCs w:val="30"/>
        </w:rPr>
        <w:t xml:space="preserve"> 公民、法人或者其他组织认为资格预审文件、招标文</w:t>
      </w:r>
      <w:r w:rsidRPr="000C3575">
        <w:rPr>
          <w:rFonts w:ascii="仿宋_GB2312" w:eastAsia="仿宋_GB2312" w:hAnsi="华文中宋" w:cs="仿宋_GB2312" w:hint="eastAsia"/>
          <w:sz w:val="30"/>
          <w:szCs w:val="30"/>
        </w:rPr>
        <w:lastRenderedPageBreak/>
        <w:t>件存在排斥、限制潜在投标人不合理条件的，有权依照《招标投标法》及其实施条例相关规定提出异议和投诉。招标投标行政监督部门、招标人应当按照规定程序处理。</w:t>
      </w:r>
    </w:p>
    <w:p w14:paraId="6B3D49BD" w14:textId="0914DBAD"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第十九条</w:t>
      </w:r>
      <w:r w:rsidRPr="000C3575">
        <w:rPr>
          <w:rFonts w:ascii="仿宋_GB2312" w:eastAsia="仿宋_GB2312" w:hAnsi="华文中宋" w:cs="仿宋_GB2312" w:hint="eastAsia"/>
          <w:sz w:val="30"/>
          <w:szCs w:val="30"/>
        </w:rPr>
        <w:t xml:space="preserve"> 政策制定机关未进行公平竞争审查或者违反审查标准出台政策措施的，由上级机关责令改正；拒不改正或者不及时改正的，对直接负责的主管人员和其他相关责任人员依照《中华人民共和国公职人员政务处分法》第三十九条、《中华人民共和国公务员法》第六十一条等有关规定依法给予处分。</w:t>
      </w:r>
    </w:p>
    <w:p w14:paraId="0399B409" w14:textId="77777777" w:rsidR="000C3575" w:rsidRPr="0074615F" w:rsidRDefault="000C3575" w:rsidP="0074615F">
      <w:pPr>
        <w:overflowPunct w:val="0"/>
        <w:spacing w:line="560" w:lineRule="exact"/>
        <w:jc w:val="center"/>
        <w:rPr>
          <w:rFonts w:ascii="黑体" w:eastAsia="黑体" w:hAnsi="黑体" w:cs="仿宋_GB2312" w:hint="eastAsia"/>
          <w:sz w:val="30"/>
          <w:szCs w:val="30"/>
        </w:rPr>
      </w:pPr>
      <w:r w:rsidRPr="0074615F">
        <w:rPr>
          <w:rFonts w:ascii="黑体" w:eastAsia="黑体" w:hAnsi="黑体" w:cs="仿宋_GB2312" w:hint="eastAsia"/>
          <w:sz w:val="30"/>
          <w:szCs w:val="30"/>
        </w:rPr>
        <w:t>第五章 附则</w:t>
      </w:r>
    </w:p>
    <w:p w14:paraId="1D4250B6"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第二十条</w:t>
      </w:r>
      <w:r w:rsidRPr="000C3575">
        <w:rPr>
          <w:rFonts w:ascii="仿宋_GB2312" w:eastAsia="仿宋_GB2312" w:hAnsi="华文中宋" w:cs="仿宋_GB2312" w:hint="eastAsia"/>
          <w:sz w:val="30"/>
          <w:szCs w:val="30"/>
        </w:rPr>
        <w:t xml:space="preserve"> 政策制定机关作为招标人编制招标公告、资格预审文件和招标文件，以及公共资源交易平台运行服务机构制定招标投标交易服务文件，应当参照本规则开展公平竞争审查。</w:t>
      </w:r>
    </w:p>
    <w:p w14:paraId="05ABBECD" w14:textId="77777777" w:rsidR="000C3575" w:rsidRPr="000C3575" w:rsidRDefault="000C3575" w:rsidP="000C3575">
      <w:pPr>
        <w:overflowPunct w:val="0"/>
        <w:spacing w:line="560" w:lineRule="exact"/>
        <w:ind w:firstLineChars="200" w:firstLine="579"/>
        <w:rPr>
          <w:rFonts w:ascii="仿宋_GB2312" w:eastAsia="仿宋_GB2312" w:hAnsi="华文中宋" w:cs="仿宋_GB2312" w:hint="eastAsia"/>
          <w:sz w:val="30"/>
          <w:szCs w:val="30"/>
        </w:rPr>
      </w:pPr>
      <w:r w:rsidRPr="0074615F">
        <w:rPr>
          <w:rFonts w:ascii="仿宋_GB2312" w:eastAsia="仿宋_GB2312" w:hAnsi="华文中宋" w:cs="仿宋_GB2312" w:hint="eastAsia"/>
          <w:b/>
          <w:bCs/>
          <w:sz w:val="30"/>
          <w:szCs w:val="30"/>
        </w:rPr>
        <w:t>第二十一条</w:t>
      </w:r>
      <w:r w:rsidRPr="000C3575">
        <w:rPr>
          <w:rFonts w:ascii="仿宋_GB2312" w:eastAsia="仿宋_GB2312" w:hAnsi="华文中宋" w:cs="仿宋_GB2312" w:hint="eastAsia"/>
          <w:sz w:val="30"/>
          <w:szCs w:val="30"/>
        </w:rPr>
        <w:t xml:space="preserve"> 本规则由国家发展改革委会同有关部门负责解释。</w:t>
      </w:r>
    </w:p>
    <w:p w14:paraId="6B78FA26" w14:textId="77777777" w:rsidR="000C3575" w:rsidRPr="000C3575" w:rsidRDefault="000C3575" w:rsidP="000C3575">
      <w:pPr>
        <w:overflowPunct w:val="0"/>
        <w:spacing w:line="560" w:lineRule="exact"/>
        <w:ind w:firstLineChars="200" w:firstLine="579"/>
        <w:rPr>
          <w:rFonts w:ascii="仿宋_GB2312" w:eastAsia="仿宋_GB2312" w:hAnsi="华文中宋" w:cs="仿宋_GB2312"/>
          <w:sz w:val="30"/>
          <w:szCs w:val="30"/>
        </w:rPr>
      </w:pPr>
      <w:r w:rsidRPr="0074615F">
        <w:rPr>
          <w:rFonts w:ascii="仿宋_GB2312" w:eastAsia="仿宋_GB2312" w:hAnsi="华文中宋" w:cs="仿宋_GB2312" w:hint="eastAsia"/>
          <w:b/>
          <w:bCs/>
          <w:sz w:val="30"/>
          <w:szCs w:val="30"/>
        </w:rPr>
        <w:t>第二十二条</w:t>
      </w:r>
      <w:r w:rsidRPr="000C3575">
        <w:rPr>
          <w:rFonts w:ascii="仿宋_GB2312" w:eastAsia="仿宋_GB2312" w:hAnsi="华文中宋" w:cs="仿宋_GB2312" w:hint="eastAsia"/>
          <w:sz w:val="30"/>
          <w:szCs w:val="30"/>
        </w:rPr>
        <w:t xml:space="preserve"> 本规则自2024年5月1日起施行。</w:t>
      </w:r>
    </w:p>
    <w:sectPr w:rsidR="000C3575" w:rsidRPr="000C3575">
      <w:footerReference w:type="even" r:id="rId7"/>
      <w:footerReference w:type="default" r:id="rId8"/>
      <w:pgSz w:w="11906" w:h="16838"/>
      <w:pgMar w:top="2098" w:right="1531" w:bottom="1984" w:left="1531" w:header="851" w:footer="879" w:gutter="0"/>
      <w:pgNumType w:fmt="numberInDash"/>
      <w:cols w:space="0"/>
      <w:docGrid w:type="linesAndChars" w:linePitch="312"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16DF" w14:textId="77777777" w:rsidR="00C505BC" w:rsidRDefault="00C505BC">
      <w:r>
        <w:separator/>
      </w:r>
    </w:p>
  </w:endnote>
  <w:endnote w:type="continuationSeparator" w:id="0">
    <w:p w14:paraId="31388646" w14:textId="77777777" w:rsidR="00C505BC" w:rsidRDefault="00C5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37904"/>
    </w:sdtPr>
    <w:sdtEndPr/>
    <w:sdtContent>
      <w:p w14:paraId="686FF866" w14:textId="77777777" w:rsidR="00105948" w:rsidRDefault="00DA0B20">
        <w:pPr>
          <w:pStyle w:val="a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EE74" w14:textId="77777777" w:rsidR="00105948" w:rsidRDefault="00DA0B20">
    <w:pPr>
      <w:pStyle w:val="a7"/>
      <w:wordWrap w:val="0"/>
      <w:spacing w:line="420" w:lineRule="auto"/>
      <w:ind w:rightChars="100" w:right="210"/>
      <w:jc w:val="right"/>
    </w:pPr>
    <w:r>
      <w:rPr>
        <w:rStyle w:val="ad"/>
        <w:rFonts w:ascii="宋体" w:hAnsi="宋体"/>
        <w:sz w:val="28"/>
      </w:rPr>
      <w:t xml:space="preserve"> </w:t>
    </w:r>
    <w:r>
      <w:rPr>
        <w:rStyle w:val="ad"/>
        <w:rFonts w:ascii="宋体" w:hAnsi="宋体"/>
        <w:sz w:val="28"/>
      </w:rPr>
      <w:fldChar w:fldCharType="begin"/>
    </w:r>
    <w:r>
      <w:rPr>
        <w:rStyle w:val="ad"/>
        <w:rFonts w:ascii="宋体" w:hAnsi="宋体"/>
        <w:sz w:val="28"/>
      </w:rPr>
      <w:instrText xml:space="preserve"> PAGE </w:instrText>
    </w:r>
    <w:r>
      <w:rPr>
        <w:rStyle w:val="ad"/>
        <w:rFonts w:ascii="宋体" w:hAnsi="宋体"/>
        <w:sz w:val="28"/>
      </w:rPr>
      <w:fldChar w:fldCharType="separate"/>
    </w:r>
    <w:r>
      <w:rPr>
        <w:rStyle w:val="ad"/>
        <w:rFonts w:ascii="宋体" w:hAnsi="宋体"/>
        <w:sz w:val="28"/>
      </w:rPr>
      <w:t>- 1 -</w:t>
    </w:r>
    <w:r>
      <w:rPr>
        <w:rStyle w:val="ad"/>
        <w:rFonts w:ascii="宋体" w:hAnsi="宋体"/>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F4E4" w14:textId="77777777" w:rsidR="00C505BC" w:rsidRDefault="00C505BC">
      <w:r>
        <w:separator/>
      </w:r>
    </w:p>
  </w:footnote>
  <w:footnote w:type="continuationSeparator" w:id="0">
    <w:p w14:paraId="35CCAA89" w14:textId="77777777" w:rsidR="00C505BC" w:rsidRDefault="00C50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evenAndOddHeaders/>
  <w:drawingGridHorizontalSpacing w:val="99"/>
  <w:drawingGridVerticalSpacing w:val="156"/>
  <w:displayHorizontalDrawingGridEvery w:val="2"/>
  <w:displayVerticalDrawingGridEvery w:val="2"/>
  <w:noPunctuationKerning/>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Setting w:name="useWord2013TrackBottomHyphenation" w:uri="http://schemas.microsoft.com/office/word" w:val="1"/>
  </w:compat>
  <w:rsids>
    <w:rsidRoot w:val="21E83904"/>
    <w:rsid w:val="DBEF0792"/>
    <w:rsid w:val="00006A03"/>
    <w:rsid w:val="000071B2"/>
    <w:rsid w:val="000132B4"/>
    <w:rsid w:val="00024B85"/>
    <w:rsid w:val="00024F4F"/>
    <w:rsid w:val="0004686C"/>
    <w:rsid w:val="00065378"/>
    <w:rsid w:val="000741D7"/>
    <w:rsid w:val="000755D1"/>
    <w:rsid w:val="00075DAD"/>
    <w:rsid w:val="0009654E"/>
    <w:rsid w:val="00096643"/>
    <w:rsid w:val="00097057"/>
    <w:rsid w:val="000B5CEB"/>
    <w:rsid w:val="000C3575"/>
    <w:rsid w:val="000E01A3"/>
    <w:rsid w:val="000F1DF4"/>
    <w:rsid w:val="000F3A7D"/>
    <w:rsid w:val="00105948"/>
    <w:rsid w:val="00117074"/>
    <w:rsid w:val="00122E1B"/>
    <w:rsid w:val="00135DF6"/>
    <w:rsid w:val="00145732"/>
    <w:rsid w:val="0014588B"/>
    <w:rsid w:val="00150010"/>
    <w:rsid w:val="001632B0"/>
    <w:rsid w:val="00164C74"/>
    <w:rsid w:val="00175342"/>
    <w:rsid w:val="00185CED"/>
    <w:rsid w:val="0019648A"/>
    <w:rsid w:val="001A3E38"/>
    <w:rsid w:val="001A67E3"/>
    <w:rsid w:val="001B16D8"/>
    <w:rsid w:val="001B4164"/>
    <w:rsid w:val="001C7648"/>
    <w:rsid w:val="001D084A"/>
    <w:rsid w:val="001D40B1"/>
    <w:rsid w:val="001E4D11"/>
    <w:rsid w:val="001E5838"/>
    <w:rsid w:val="001E74ED"/>
    <w:rsid w:val="001F05C7"/>
    <w:rsid w:val="001F3349"/>
    <w:rsid w:val="00232E59"/>
    <w:rsid w:val="00233B29"/>
    <w:rsid w:val="002356F2"/>
    <w:rsid w:val="00240FC1"/>
    <w:rsid w:val="00245022"/>
    <w:rsid w:val="002661EA"/>
    <w:rsid w:val="0026686B"/>
    <w:rsid w:val="002B0F76"/>
    <w:rsid w:val="002C1A55"/>
    <w:rsid w:val="002C2AFC"/>
    <w:rsid w:val="002C3E1E"/>
    <w:rsid w:val="002D1396"/>
    <w:rsid w:val="002D1FDC"/>
    <w:rsid w:val="002D5BE0"/>
    <w:rsid w:val="002E2C12"/>
    <w:rsid w:val="002F2E89"/>
    <w:rsid w:val="002F4E31"/>
    <w:rsid w:val="003006BF"/>
    <w:rsid w:val="00300C90"/>
    <w:rsid w:val="00304298"/>
    <w:rsid w:val="00314CB0"/>
    <w:rsid w:val="00316724"/>
    <w:rsid w:val="00321914"/>
    <w:rsid w:val="00351937"/>
    <w:rsid w:val="00356873"/>
    <w:rsid w:val="00360940"/>
    <w:rsid w:val="00370B59"/>
    <w:rsid w:val="00391595"/>
    <w:rsid w:val="00393059"/>
    <w:rsid w:val="0039386A"/>
    <w:rsid w:val="00396E1E"/>
    <w:rsid w:val="003A7ED4"/>
    <w:rsid w:val="003B11F1"/>
    <w:rsid w:val="003B5A78"/>
    <w:rsid w:val="003B6F75"/>
    <w:rsid w:val="003C2490"/>
    <w:rsid w:val="003D1B58"/>
    <w:rsid w:val="004101B7"/>
    <w:rsid w:val="004168B7"/>
    <w:rsid w:val="004221CD"/>
    <w:rsid w:val="004279C7"/>
    <w:rsid w:val="0043099A"/>
    <w:rsid w:val="00430D69"/>
    <w:rsid w:val="00433068"/>
    <w:rsid w:val="00434698"/>
    <w:rsid w:val="0045306F"/>
    <w:rsid w:val="00457B8E"/>
    <w:rsid w:val="004751E9"/>
    <w:rsid w:val="004822FF"/>
    <w:rsid w:val="004A779A"/>
    <w:rsid w:val="004B18AA"/>
    <w:rsid w:val="004E172B"/>
    <w:rsid w:val="004F0094"/>
    <w:rsid w:val="004F03DB"/>
    <w:rsid w:val="004F322A"/>
    <w:rsid w:val="00501453"/>
    <w:rsid w:val="00511939"/>
    <w:rsid w:val="00516ABA"/>
    <w:rsid w:val="00524578"/>
    <w:rsid w:val="005355AA"/>
    <w:rsid w:val="005359DF"/>
    <w:rsid w:val="00542632"/>
    <w:rsid w:val="00561BC0"/>
    <w:rsid w:val="00576150"/>
    <w:rsid w:val="00586552"/>
    <w:rsid w:val="005A150C"/>
    <w:rsid w:val="005B07BA"/>
    <w:rsid w:val="005C1429"/>
    <w:rsid w:val="005E5211"/>
    <w:rsid w:val="00611BE8"/>
    <w:rsid w:val="00616DC9"/>
    <w:rsid w:val="00617798"/>
    <w:rsid w:val="00624675"/>
    <w:rsid w:val="00625933"/>
    <w:rsid w:val="00636B5F"/>
    <w:rsid w:val="0064290A"/>
    <w:rsid w:val="006535C8"/>
    <w:rsid w:val="00655B1C"/>
    <w:rsid w:val="00671C19"/>
    <w:rsid w:val="00680D39"/>
    <w:rsid w:val="0069085B"/>
    <w:rsid w:val="00693411"/>
    <w:rsid w:val="006940B8"/>
    <w:rsid w:val="0069686E"/>
    <w:rsid w:val="006A1CE8"/>
    <w:rsid w:val="006A2C0A"/>
    <w:rsid w:val="006C7DFA"/>
    <w:rsid w:val="006D06AC"/>
    <w:rsid w:val="006D11A4"/>
    <w:rsid w:val="006F5C22"/>
    <w:rsid w:val="00705BFE"/>
    <w:rsid w:val="00710C07"/>
    <w:rsid w:val="00713487"/>
    <w:rsid w:val="007139AA"/>
    <w:rsid w:val="00716D98"/>
    <w:rsid w:val="00726C7A"/>
    <w:rsid w:val="007375A0"/>
    <w:rsid w:val="0074615F"/>
    <w:rsid w:val="0074764E"/>
    <w:rsid w:val="00747DF8"/>
    <w:rsid w:val="0075328B"/>
    <w:rsid w:val="00754B9C"/>
    <w:rsid w:val="00760DBE"/>
    <w:rsid w:val="00770CB4"/>
    <w:rsid w:val="00784EA3"/>
    <w:rsid w:val="007906A9"/>
    <w:rsid w:val="00791818"/>
    <w:rsid w:val="007928A2"/>
    <w:rsid w:val="007C0353"/>
    <w:rsid w:val="007C2D43"/>
    <w:rsid w:val="007D2FEB"/>
    <w:rsid w:val="007E0BCB"/>
    <w:rsid w:val="007E46E1"/>
    <w:rsid w:val="007F6C62"/>
    <w:rsid w:val="00810AB8"/>
    <w:rsid w:val="008172EC"/>
    <w:rsid w:val="00824E7C"/>
    <w:rsid w:val="00854DA4"/>
    <w:rsid w:val="0086272A"/>
    <w:rsid w:val="008779FF"/>
    <w:rsid w:val="0088598D"/>
    <w:rsid w:val="008902F3"/>
    <w:rsid w:val="008E4AD6"/>
    <w:rsid w:val="008E4FC4"/>
    <w:rsid w:val="008F7A5C"/>
    <w:rsid w:val="008F7ACB"/>
    <w:rsid w:val="00912B0D"/>
    <w:rsid w:val="0092625A"/>
    <w:rsid w:val="00934940"/>
    <w:rsid w:val="009370F4"/>
    <w:rsid w:val="009612E1"/>
    <w:rsid w:val="009706C8"/>
    <w:rsid w:val="00987980"/>
    <w:rsid w:val="00997556"/>
    <w:rsid w:val="009A4064"/>
    <w:rsid w:val="009C4A83"/>
    <w:rsid w:val="009C5615"/>
    <w:rsid w:val="009C751B"/>
    <w:rsid w:val="009D433D"/>
    <w:rsid w:val="009E3A19"/>
    <w:rsid w:val="009E6C0B"/>
    <w:rsid w:val="009F3D47"/>
    <w:rsid w:val="00A26853"/>
    <w:rsid w:val="00A4638E"/>
    <w:rsid w:val="00A5180F"/>
    <w:rsid w:val="00A60198"/>
    <w:rsid w:val="00A64459"/>
    <w:rsid w:val="00A66BC7"/>
    <w:rsid w:val="00A70BF2"/>
    <w:rsid w:val="00A742A8"/>
    <w:rsid w:val="00A751D5"/>
    <w:rsid w:val="00AA2FF2"/>
    <w:rsid w:val="00AA6D03"/>
    <w:rsid w:val="00AC708A"/>
    <w:rsid w:val="00AD57C0"/>
    <w:rsid w:val="00AF1A77"/>
    <w:rsid w:val="00B03497"/>
    <w:rsid w:val="00B247B3"/>
    <w:rsid w:val="00B327FB"/>
    <w:rsid w:val="00B341A3"/>
    <w:rsid w:val="00B507CD"/>
    <w:rsid w:val="00B53EE3"/>
    <w:rsid w:val="00B640A9"/>
    <w:rsid w:val="00B80314"/>
    <w:rsid w:val="00B86ABD"/>
    <w:rsid w:val="00B93792"/>
    <w:rsid w:val="00BA07CE"/>
    <w:rsid w:val="00BA48F5"/>
    <w:rsid w:val="00BA53F2"/>
    <w:rsid w:val="00BA6500"/>
    <w:rsid w:val="00BB7F3D"/>
    <w:rsid w:val="00C01D6B"/>
    <w:rsid w:val="00C02B04"/>
    <w:rsid w:val="00C12B3F"/>
    <w:rsid w:val="00C1513C"/>
    <w:rsid w:val="00C41F8E"/>
    <w:rsid w:val="00C42909"/>
    <w:rsid w:val="00C505BC"/>
    <w:rsid w:val="00C53EB0"/>
    <w:rsid w:val="00C631C7"/>
    <w:rsid w:val="00C6723B"/>
    <w:rsid w:val="00C72CA9"/>
    <w:rsid w:val="00C74906"/>
    <w:rsid w:val="00C75845"/>
    <w:rsid w:val="00C8287F"/>
    <w:rsid w:val="00C82F2C"/>
    <w:rsid w:val="00CA29B8"/>
    <w:rsid w:val="00CD2ED3"/>
    <w:rsid w:val="00CD46AD"/>
    <w:rsid w:val="00CE1F00"/>
    <w:rsid w:val="00CF1417"/>
    <w:rsid w:val="00D179AF"/>
    <w:rsid w:val="00D34B88"/>
    <w:rsid w:val="00D447D7"/>
    <w:rsid w:val="00D45367"/>
    <w:rsid w:val="00D527EE"/>
    <w:rsid w:val="00D54A22"/>
    <w:rsid w:val="00D65551"/>
    <w:rsid w:val="00D82912"/>
    <w:rsid w:val="00D9051C"/>
    <w:rsid w:val="00D9293E"/>
    <w:rsid w:val="00D9710E"/>
    <w:rsid w:val="00DA0B20"/>
    <w:rsid w:val="00DD44CD"/>
    <w:rsid w:val="00DE1E40"/>
    <w:rsid w:val="00DE4377"/>
    <w:rsid w:val="00DF1BBC"/>
    <w:rsid w:val="00E0545D"/>
    <w:rsid w:val="00E16AA6"/>
    <w:rsid w:val="00E24F82"/>
    <w:rsid w:val="00E5736C"/>
    <w:rsid w:val="00E57B3C"/>
    <w:rsid w:val="00E63815"/>
    <w:rsid w:val="00E64AEE"/>
    <w:rsid w:val="00E7163D"/>
    <w:rsid w:val="00E72367"/>
    <w:rsid w:val="00E91A50"/>
    <w:rsid w:val="00E922BA"/>
    <w:rsid w:val="00E942C4"/>
    <w:rsid w:val="00E95904"/>
    <w:rsid w:val="00E964E9"/>
    <w:rsid w:val="00EA02DF"/>
    <w:rsid w:val="00EB5C9E"/>
    <w:rsid w:val="00EB7A59"/>
    <w:rsid w:val="00EC3F10"/>
    <w:rsid w:val="00ED11D3"/>
    <w:rsid w:val="00ED7EE6"/>
    <w:rsid w:val="00EE0D66"/>
    <w:rsid w:val="00EF4229"/>
    <w:rsid w:val="00F207AB"/>
    <w:rsid w:val="00F21666"/>
    <w:rsid w:val="00F223B8"/>
    <w:rsid w:val="00F34C76"/>
    <w:rsid w:val="00F71C5A"/>
    <w:rsid w:val="00F74BD5"/>
    <w:rsid w:val="00F97798"/>
    <w:rsid w:val="00FA3DB5"/>
    <w:rsid w:val="00FA4C0D"/>
    <w:rsid w:val="00FB39D4"/>
    <w:rsid w:val="00FB75C5"/>
    <w:rsid w:val="00FC2E7D"/>
    <w:rsid w:val="00FD197A"/>
    <w:rsid w:val="00FD2656"/>
    <w:rsid w:val="00FD38DD"/>
    <w:rsid w:val="00FE65FC"/>
    <w:rsid w:val="00FF1941"/>
    <w:rsid w:val="024C1AEA"/>
    <w:rsid w:val="042B61B9"/>
    <w:rsid w:val="0431370B"/>
    <w:rsid w:val="04513F83"/>
    <w:rsid w:val="069B27BB"/>
    <w:rsid w:val="06E136B1"/>
    <w:rsid w:val="075E5A77"/>
    <w:rsid w:val="07E859A3"/>
    <w:rsid w:val="09FB7E84"/>
    <w:rsid w:val="0BE81C60"/>
    <w:rsid w:val="0DA732E1"/>
    <w:rsid w:val="0EA9071C"/>
    <w:rsid w:val="0FD21DE1"/>
    <w:rsid w:val="13BF4599"/>
    <w:rsid w:val="153044A8"/>
    <w:rsid w:val="15A76DCC"/>
    <w:rsid w:val="16BA5D3F"/>
    <w:rsid w:val="17C72805"/>
    <w:rsid w:val="187234FB"/>
    <w:rsid w:val="18854B91"/>
    <w:rsid w:val="19171B64"/>
    <w:rsid w:val="19805989"/>
    <w:rsid w:val="1A616026"/>
    <w:rsid w:val="1B125A35"/>
    <w:rsid w:val="1B175F52"/>
    <w:rsid w:val="1C8B3DA4"/>
    <w:rsid w:val="1CE557BD"/>
    <w:rsid w:val="1D1C4734"/>
    <w:rsid w:val="1FA64712"/>
    <w:rsid w:val="21795B62"/>
    <w:rsid w:val="21E83904"/>
    <w:rsid w:val="2373205C"/>
    <w:rsid w:val="23FF13F6"/>
    <w:rsid w:val="244500E4"/>
    <w:rsid w:val="25E45C31"/>
    <w:rsid w:val="26E11752"/>
    <w:rsid w:val="26EA75D8"/>
    <w:rsid w:val="289A5898"/>
    <w:rsid w:val="29127F91"/>
    <w:rsid w:val="29876753"/>
    <w:rsid w:val="2ABA063A"/>
    <w:rsid w:val="2B37584F"/>
    <w:rsid w:val="312D7ED6"/>
    <w:rsid w:val="3148606D"/>
    <w:rsid w:val="3220281C"/>
    <w:rsid w:val="33E9352F"/>
    <w:rsid w:val="343F3A8B"/>
    <w:rsid w:val="345844BA"/>
    <w:rsid w:val="34E80B47"/>
    <w:rsid w:val="36645CB7"/>
    <w:rsid w:val="39FC2A20"/>
    <w:rsid w:val="3A296C43"/>
    <w:rsid w:val="3CFA396A"/>
    <w:rsid w:val="3E634706"/>
    <w:rsid w:val="3E976B0A"/>
    <w:rsid w:val="3FDF14FC"/>
    <w:rsid w:val="40366C49"/>
    <w:rsid w:val="43B34072"/>
    <w:rsid w:val="44796636"/>
    <w:rsid w:val="44960F42"/>
    <w:rsid w:val="44E21B79"/>
    <w:rsid w:val="45323B14"/>
    <w:rsid w:val="46146869"/>
    <w:rsid w:val="495D77AB"/>
    <w:rsid w:val="4B08189F"/>
    <w:rsid w:val="4B225EEF"/>
    <w:rsid w:val="4CDD5565"/>
    <w:rsid w:val="4CEF09DB"/>
    <w:rsid w:val="4D3223EE"/>
    <w:rsid w:val="4E095E3C"/>
    <w:rsid w:val="4E76646A"/>
    <w:rsid w:val="51DA469C"/>
    <w:rsid w:val="52B410FD"/>
    <w:rsid w:val="542F7F19"/>
    <w:rsid w:val="548E174A"/>
    <w:rsid w:val="5549009A"/>
    <w:rsid w:val="55711372"/>
    <w:rsid w:val="56D71895"/>
    <w:rsid w:val="596E7EE8"/>
    <w:rsid w:val="5ACB0D2B"/>
    <w:rsid w:val="5AD9398A"/>
    <w:rsid w:val="5D933358"/>
    <w:rsid w:val="5E444289"/>
    <w:rsid w:val="60EB4269"/>
    <w:rsid w:val="617A0C93"/>
    <w:rsid w:val="61806AB5"/>
    <w:rsid w:val="625940B7"/>
    <w:rsid w:val="62BA263B"/>
    <w:rsid w:val="62C46FEA"/>
    <w:rsid w:val="63EA4EF1"/>
    <w:rsid w:val="65A60534"/>
    <w:rsid w:val="68FC0E5F"/>
    <w:rsid w:val="6B3B094D"/>
    <w:rsid w:val="6E0358DD"/>
    <w:rsid w:val="6E3E1C4E"/>
    <w:rsid w:val="6EDE7CBF"/>
    <w:rsid w:val="71156D89"/>
    <w:rsid w:val="77391E5F"/>
    <w:rsid w:val="79AA5D90"/>
    <w:rsid w:val="79CD122B"/>
    <w:rsid w:val="7CAD9A9F"/>
    <w:rsid w:val="7D7828B5"/>
    <w:rsid w:val="7DFF4C48"/>
    <w:rsid w:val="7E9E6E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14638"/>
  <w15:docId w15:val="{D56935C4-8A71-4049-8ACA-BE39E956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pPr>
      <w:widowControl/>
      <w:spacing w:before="100" w:beforeAutospacing="1" w:after="100" w:afterAutospacing="1"/>
      <w:jc w:val="left"/>
    </w:pPr>
    <w:rPr>
      <w:rFonts w:ascii="Times New Roman" w:hAnsi="Times New Roman"/>
      <w:kern w:val="0"/>
      <w:sz w:val="24"/>
    </w:rPr>
  </w:style>
  <w:style w:type="table" w:styleId="ac">
    <w:name w:val="Table Grid"/>
    <w:basedOn w:val="a1"/>
    <w:qFormat/>
    <w:lock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qFormat/>
    <w:rPr>
      <w:rFonts w:cs="Times New Roman"/>
    </w:rPr>
  </w:style>
  <w:style w:type="character" w:styleId="ae">
    <w:name w:val="Hyperlink"/>
    <w:basedOn w:val="a0"/>
    <w:uiPriority w:val="99"/>
    <w:qFormat/>
    <w:rPr>
      <w:rFonts w:cs="Times New Roman"/>
      <w:color w:val="0000FF"/>
      <w:u w:val="single"/>
    </w:rPr>
  </w:style>
  <w:style w:type="character" w:customStyle="1" w:styleId="a8">
    <w:name w:val="页脚 字符"/>
    <w:basedOn w:val="a0"/>
    <w:link w:val="a7"/>
    <w:uiPriority w:val="99"/>
    <w:qFormat/>
    <w:locked/>
    <w:rPr>
      <w:rFonts w:cs="Times New Roman"/>
      <w:sz w:val="18"/>
      <w:szCs w:val="18"/>
    </w:rPr>
  </w:style>
  <w:style w:type="character" w:customStyle="1" w:styleId="aa">
    <w:name w:val="页眉 字符"/>
    <w:basedOn w:val="a0"/>
    <w:link w:val="a9"/>
    <w:uiPriority w:val="99"/>
    <w:semiHidden/>
    <w:qFormat/>
    <w:locked/>
    <w:rPr>
      <w:rFonts w:cs="Times New Roman"/>
      <w:sz w:val="18"/>
      <w:szCs w:val="18"/>
    </w:rPr>
  </w:style>
  <w:style w:type="paragraph" w:customStyle="1" w:styleId="CharChar">
    <w:name w:val="Char Char"/>
    <w:basedOn w:val="a"/>
    <w:uiPriority w:val="99"/>
    <w:qFormat/>
    <w:pPr>
      <w:widowControl/>
      <w:spacing w:after="160" w:line="240" w:lineRule="exact"/>
      <w:jc w:val="left"/>
    </w:pPr>
    <w:rPr>
      <w:rFonts w:ascii="宋体" w:hAnsi="宋体"/>
      <w:b/>
      <w:kern w:val="0"/>
      <w:sz w:val="24"/>
      <w:lang w:eastAsia="en-US"/>
    </w:rPr>
  </w:style>
  <w:style w:type="paragraph" w:customStyle="1" w:styleId="1">
    <w:name w:val="1"/>
    <w:basedOn w:val="a"/>
    <w:uiPriority w:val="99"/>
    <w:qFormat/>
    <w:pPr>
      <w:tabs>
        <w:tab w:val="left" w:pos="420"/>
      </w:tabs>
      <w:ind w:left="420" w:hanging="420"/>
    </w:pPr>
    <w:rPr>
      <w:rFonts w:ascii="Times New Roman" w:eastAsia="仿宋_GB2312" w:hAnsi="Times New Roman"/>
      <w:spacing w:val="-6"/>
      <w:sz w:val="32"/>
      <w:szCs w:val="20"/>
    </w:rPr>
  </w:style>
  <w:style w:type="paragraph" w:customStyle="1" w:styleId="CharCharCharCharCharCharChar">
    <w:name w:val="Char Char Char Char Char Char Char"/>
    <w:basedOn w:val="a"/>
    <w:unhideWhenUsed/>
    <w:qFormat/>
    <w:pPr>
      <w:widowControl/>
    </w:pPr>
    <w:rPr>
      <w:rFonts w:ascii="Times New Roman" w:hAnsi="Times New Roman"/>
      <w:szCs w:val="21"/>
    </w:rPr>
  </w:style>
  <w:style w:type="paragraph" w:styleId="af">
    <w:name w:val="List Paragraph"/>
    <w:basedOn w:val="a"/>
    <w:uiPriority w:val="99"/>
    <w:unhideWhenUsed/>
    <w:qFormat/>
    <w:pPr>
      <w:ind w:firstLineChars="200" w:firstLine="420"/>
    </w:pPr>
  </w:style>
  <w:style w:type="character" w:customStyle="1" w:styleId="a4">
    <w:name w:val="日期 字符"/>
    <w:basedOn w:val="a0"/>
    <w:link w:val="a3"/>
    <w:uiPriority w:val="99"/>
    <w:semiHidden/>
    <w:qFormat/>
    <w:rPr>
      <w:rFonts w:ascii="Calibri" w:hAnsi="Calibri"/>
      <w:kern w:val="2"/>
      <w:sz w:val="21"/>
      <w:szCs w:val="24"/>
    </w:rPr>
  </w:style>
  <w:style w:type="character" w:customStyle="1" w:styleId="a6">
    <w:name w:val="批注框文本 字符"/>
    <w:basedOn w:val="a0"/>
    <w:link w:val="a5"/>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766">
      <w:bodyDiv w:val="1"/>
      <w:marLeft w:val="0"/>
      <w:marRight w:val="0"/>
      <w:marTop w:val="0"/>
      <w:marBottom w:val="0"/>
      <w:divBdr>
        <w:top w:val="none" w:sz="0" w:space="0" w:color="auto"/>
        <w:left w:val="none" w:sz="0" w:space="0" w:color="auto"/>
        <w:bottom w:val="none" w:sz="0" w:space="0" w:color="auto"/>
        <w:right w:val="none" w:sz="0" w:space="0" w:color="auto"/>
      </w:divBdr>
    </w:div>
    <w:div w:id="560596765">
      <w:bodyDiv w:val="1"/>
      <w:marLeft w:val="0"/>
      <w:marRight w:val="0"/>
      <w:marTop w:val="0"/>
      <w:marBottom w:val="0"/>
      <w:divBdr>
        <w:top w:val="none" w:sz="0" w:space="0" w:color="auto"/>
        <w:left w:val="none" w:sz="0" w:space="0" w:color="auto"/>
        <w:bottom w:val="none" w:sz="0" w:space="0" w:color="auto"/>
        <w:right w:val="none" w:sz="0" w:space="0" w:color="auto"/>
      </w:divBdr>
    </w:div>
    <w:div w:id="1244489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2024-04-10T02:22:00Z</cp:lastPrinted>
  <dcterms:created xsi:type="dcterms:W3CDTF">2018-04-09T02:02:00Z</dcterms:created>
  <dcterms:modified xsi:type="dcterms:W3CDTF">2024-04-10T02:26:00Z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